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6F437E">
        <w:rPr>
          <w:rFonts w:ascii="Meiryo UI" w:eastAsia="Meiryo UI" w:hAnsi="Meiryo UI"/>
          <w:sz w:val="32"/>
          <w:szCs w:val="32"/>
        </w:rPr>
        <w:t>1</w:t>
      </w:r>
      <w:r w:rsidR="006F437E">
        <w:rPr>
          <w:rFonts w:ascii="Meiryo UI" w:eastAsia="Meiryo UI" w:hAnsi="Meiryo UI" w:hint="eastAsia"/>
          <w:sz w:val="32"/>
          <w:szCs w:val="32"/>
        </w:rPr>
        <w:t>2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6F437E">
        <w:rPr>
          <w:rFonts w:ascii="Meiryo UI" w:eastAsia="Meiryo UI" w:hAnsi="Meiryo UI" w:hint="eastAsia"/>
          <w:sz w:val="32"/>
          <w:szCs w:val="32"/>
        </w:rPr>
        <w:t>26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6F437E" w:rsidRPr="006F437E">
        <w:rPr>
          <w:rFonts w:ascii="Meiryo UI" w:eastAsia="Meiryo UI" w:hAnsi="Meiryo UI" w:hint="eastAsia"/>
          <w:sz w:val="32"/>
          <w:szCs w:val="32"/>
        </w:rPr>
        <w:t>臨床研究法施行：見えてきた問題点と今後の課題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6F437E">
        <w:rPr>
          <w:rFonts w:ascii="Meiryo UI" w:eastAsia="Meiryo UI" w:hAnsi="Meiryo UI" w:hint="eastAsia"/>
          <w:b/>
          <w:color w:val="FF0000"/>
          <w:u w:val="single"/>
        </w:rPr>
        <w:t>１２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6F437E">
        <w:rPr>
          <w:rFonts w:ascii="Meiryo UI" w:eastAsia="Meiryo UI" w:hAnsi="Meiryo UI" w:hint="eastAsia"/>
          <w:b/>
          <w:color w:val="FF0000"/>
          <w:u w:val="single"/>
        </w:rPr>
        <w:t>２５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6F437E">
        <w:rPr>
          <w:rFonts w:ascii="Meiryo UI" w:eastAsia="Meiryo UI" w:hAnsi="Meiryo UI" w:hint="eastAsia"/>
          <w:b/>
          <w:color w:val="FF0000"/>
          <w:u w:val="single"/>
        </w:rPr>
        <w:t>火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12714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437E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B10B-0313-4043-B880-867EAF28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2018-12-10T04:53:00Z</dcterms:created>
  <dcterms:modified xsi:type="dcterms:W3CDTF">2018-12-10T04:53:00Z</dcterms:modified>
</cp:coreProperties>
</file>